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E675D" w:rsidTr="006E675D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4"/>
                    <w:gridCol w:w="7836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1904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4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14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1066800" cy="381000"/>
                                          <wp:effectExtent l="0" t="0" r="0" b="0"/>
                                          <wp:docPr id="16" name="Picture 16" descr="https://i.emlfiles4.com/cmpimg/8/7/0/5/2/1/files/1589685_emirateslogo2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.emlfiles4.com/cmpimg/8/7/0/5/2/1/files/1589685_emirateslogo2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6680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3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36"/>
                              </w:tblGrid>
                              <w:tr w:rsidR="006E675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78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78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00"/>
                                          </w:tblGrid>
                                          <w:tr w:rsidR="006E675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800"/>
                                                </w:tblGrid>
                                                <w:tr w:rsidR="006E675D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00" w:type="dxa"/>
                                                        <w:bottom w:w="0" w:type="dxa"/>
                                                        <w:right w:w="30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6E675D" w:rsidRDefault="006E675D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 w:line="315" w:lineRule="atLeast"/>
                                                        <w:jc w:val="right"/>
                                                        <w:rPr>
                                                          <w:rFonts w:ascii="Verdana" w:hAnsi="Verdana"/>
                                                          <w:color w:val="766A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hyperlink r:id="rId6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color w:val="FFFFFF"/>
                                                            <w:sz w:val="20"/>
                                                            <w:szCs w:val="20"/>
                                                            <w:u w:val="none"/>
                                                          </w:rPr>
                                                          <w:t>Your Safety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FFFFFF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 |   </w:t>
                                                      </w:r>
                                                      <w:hyperlink r:id="rId7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color w:val="FFFFFF"/>
                                                            <w:sz w:val="20"/>
                                                            <w:szCs w:val="20"/>
                                                            <w:u w:val="none"/>
                                                          </w:rPr>
                                                          <w:t>Partners Portal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FFFFFF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   |   </w:t>
                                                      </w:r>
                                                      <w:hyperlink r:id="rId8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color w:val="FFFFFF"/>
                                                            <w:sz w:val="20"/>
                                                            <w:szCs w:val="20"/>
                                                            <w:u w:val="none"/>
                                                          </w:rPr>
                                                          <w:t>Featured Fares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675D" w:rsidRDefault="006E675D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675D" w:rsidRDefault="006E675D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E675D" w:rsidRDefault="006E675D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3381375" cy="1209675"/>
                                    <wp:effectExtent l="0" t="0" r="9525" b="9525"/>
                                    <wp:docPr id="15" name="Picture 15" descr="https://i.emlfiles4.com/cmpimg/8/7/0/5/2/1/files/imagecache/2750818/w660_1589684_emirateslogonew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i.emlfiles4.com/cmpimg/8/7/0/5/2/1/files/imagecache/2750818/w660_1589684_emirateslogonew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81375" cy="1209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6E675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255" w:lineRule="atLeast"/>
                                            <w:jc w:val="right"/>
                                            <w:rPr>
                                              <w:rFonts w:ascii="Verdana" w:hAnsi="Verdana"/>
                                              <w:color w:val="FFFFF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17"/>
                                                <w:szCs w:val="17"/>
                                                <w:u w:val="none"/>
                                              </w:rPr>
                                              <w:t>Your Safety</w:t>
                                            </w:r>
                                          </w:hyperlink>
                                        </w:p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255" w:lineRule="atLeast"/>
                                            <w:jc w:val="right"/>
                                            <w:rPr>
                                              <w:rFonts w:ascii="Verdana" w:hAnsi="Verdana"/>
                                              <w:color w:val="FFFFF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1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17"/>
                                                <w:szCs w:val="17"/>
                                                <w:u w:val="none"/>
                                              </w:rPr>
                                              <w:t>Partners Portal</w:t>
                                            </w:r>
                                          </w:hyperlink>
                                        </w:p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255" w:lineRule="atLeast"/>
                                            <w:jc w:val="right"/>
                                            <w:rPr>
                                              <w:rFonts w:ascii="Verdana" w:hAnsi="Verdana"/>
                                              <w:color w:val="FFFFF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hyperlink r:id="rId12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17"/>
                                                <w:szCs w:val="17"/>
                                                <w:u w:val="none"/>
                                              </w:rPr>
                                              <w:t>Featured Fares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675D" w:rsidRDefault="006E675D">
                        <w:pPr>
                          <w:spacing w:line="15" w:lineRule="atLeast"/>
                          <w:rPr>
                            <w:rFonts w:ascii="Verdana" w:hAnsi="Verdana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6191250" cy="4371975"/>
                              <wp:effectExtent l="0" t="0" r="0" b="9525"/>
                              <wp:docPr id="14" name="Picture 14" descr="https://i.emlfiles4.com/cmpimg/8/7/0/5/2/1/files/imagecache/2750818/w660_2626266_a380newlivery.jpg">
                                <a:hlinkClick xmlns:a="http://schemas.openxmlformats.org/drawingml/2006/main" r:id="rId13" tooltip="Emirates Partners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i.emlfiles4.com/cmpimg/8/7/0/5/2/1/files/imagecache/2750818/w660_2626266_a380newliver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0" cy="437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E675D" w:rsidRDefault="006E675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675D" w:rsidRDefault="006E675D">
                  <w:pPr>
                    <w:spacing w:line="15" w:lineRule="atLeast"/>
                    <w:rPr>
                      <w:rFonts w:ascii="Verdana" w:hAnsi="Verdana"/>
                      <w:sz w:val="2"/>
                      <w:szCs w:val="2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12" name="Picture 12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:rsidR="006E675D" w:rsidRDefault="006E675D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center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333333"/>
                                </w:rPr>
                                <w:t>Limited operations due to regional situation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81818"/>
                                </w:rPr>
                                <w:t xml:space="preserve"> v8</w:t>
                              </w: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textAlignment w:val="top"/>
                    <w:rPr>
                      <w:rFonts w:ascii="Verdana" w:hAnsi="Verdana"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E675D" w:rsidRDefault="006E675D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1" name="Picture 11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675D" w:rsidRDefault="006E675D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</w:tcPr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Dear valued Partners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 xml:space="preserve">As part of our ongoing commitment to keeping you informed and supported, we kindly remind all our valued partners to regularly check the </w:t>
                              </w:r>
                              <w:hyperlink r:id="rId16" w:tooltip="Emirates Partner Portal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b/>
                                    <w:bCs/>
                                    <w:color w:val="0B15EE"/>
                                    <w:sz w:val="20"/>
                                    <w:szCs w:val="20"/>
                                  </w:rPr>
                                  <w:t>Emirates Partner Portal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hyperlink r:id="rId17" w:tooltip="Emirates.com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b/>
                                    <w:bCs/>
                                    <w:color w:val="0B15EE"/>
                                    <w:sz w:val="20"/>
                                    <w:szCs w:val="20"/>
                                  </w:rPr>
                                  <w:t>Emirates.com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for the latest updates, announcements, and operational changes.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Summary of Key Information of latest Disruption policy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covers all affected itineraries with travel between 28 February and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15 April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Rebooking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Rebooking on Emirates (EK) Flights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Passengers travelling within this period may rebook their travel for departure on or before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31 May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within the same region and in any RBD within the same cabin, free of charge.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For travel dates after 31 May 2026, rebooking must be made in the originally booked booking class and must comply with ticket validity conditions. For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non issued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tickets, the new travel date must fall within three months of the original travel date.</w:t>
                              </w:r>
                            </w:p>
                            <w:p w:rsidR="006E675D" w:rsidRDefault="006E675D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Rebooking on Other Airlines (OAL)</w:t>
                              </w:r>
                            </w:p>
                            <w:p w:rsidR="006E675D" w:rsidRDefault="006E675D" w:rsidP="005E744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240" w:after="75" w:line="315" w:lineRule="atLeast"/>
                                <w:jc w:val="both"/>
                                <w:rPr>
                                  <w:rFonts w:ascii="Verdana" w:eastAsia="Times New Roman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Re-protection on OAL is permitted only for EK-affected flight segments (cancelled, diverted, or delayed more than 1 hour) and new travel date must be by </w:t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D41D28"/>
                                  <w:sz w:val="20"/>
                                  <w:szCs w:val="20"/>
                                </w:rPr>
                                <w:t>15 April 2026</w:t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Refunds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Refunds are permitted on unused flight coupons, with cancellation charges waived. 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GDS Instructions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***Important: Please process all involuntary refunds through your GDS using the remark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“INVOL REFUND”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which must always be included.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3"/>
                                <w:gridCol w:w="4353"/>
                              </w:tblGrid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single" w:sz="8" w:space="0" w:color="555555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766A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GDS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766A65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single" w:sz="8" w:space="0" w:color="555555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766A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Where to add remark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Galileo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Airline Authority box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Worldspan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Airline Authority box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Sabre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Waiver box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Amadeus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TRFU/WA Waiver Code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NDC GDS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Refund application through BSP Link</w:t>
                                    </w:r>
                                  </w:p>
                                </w:tc>
                              </w:tr>
                              <w:tr w:rsidR="006E675D"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single" w:sz="8" w:space="0" w:color="555555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EK Gateway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555555"/>
                                      <w:right w:val="single" w:sz="8" w:space="0" w:color="555555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60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Waiver Code field</w:t>
                                    </w: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Please ensure you refer to our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8" w:tooltip="Disruption Policy on the Emirates Partners Portal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color w:val="0B15EE"/>
                                    <w:sz w:val="20"/>
                                    <w:szCs w:val="20"/>
                                  </w:rPr>
                                  <w:t>Disruption Policy on the Emirates Partners Portal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which outlines the applicable procedures and guidelines for handling affected bookings.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The safety and security of our passengers and crew remain our highest priority.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We thank you and our customers for continued patience and understanding.</w:t>
                              </w:r>
                            </w:p>
                            <w:p w:rsidR="006E675D" w:rsidRDefault="006E675D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</w:p>
                            <w:p w:rsidR="006E675D" w:rsidRDefault="006E675D">
                              <w:pPr>
                                <w:pStyle w:val="NormalWeb"/>
                                <w:spacing w:before="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Regards,</w:t>
                              </w:r>
                            </w:p>
                            <w:p w:rsidR="006E675D" w:rsidRDefault="006E675D">
                              <w:pPr>
                                <w:pStyle w:val="elementtoproof"/>
                                <w:spacing w:before="24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The Emirates Team</w:t>
                              </w: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textAlignment w:val="top"/>
                    <w:rPr>
                      <w:rFonts w:ascii="Verdana" w:hAnsi="Verdana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675D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675D" w:rsidRDefault="006E675D">
                        <w:pPr>
                          <w:rPr>
                            <w:rFonts w:ascii="Verdana" w:hAnsi="Verdana"/>
                            <w:vanish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E675D" w:rsidRDefault="006E675D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0" name="Picture 10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tbl>
                  <w:tblPr>
                    <w:tblW w:w="85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855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EFEF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6E675D" w:rsidRDefault="006E675D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19050"/>
                                          <wp:effectExtent l="0" t="0" r="0" b="0"/>
                                          <wp:docPr id="9" name="Picture 9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19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9240"/>
                    <w:gridCol w:w="60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45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spacing w:line="15" w:lineRule="atLeast"/>
                                            <w:rPr>
                                              <w:rFonts w:ascii="Verdana" w:hAnsi="Verdana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95250"/>
                                                <wp:effectExtent l="0" t="0" r="0" b="0"/>
                                                <wp:docPr id="8" name="Picture 8" descr="https://i.emlfiles4.com/cmpimg/t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https://i.emlfiles4.com/cmpimg/t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40"/>
                              </w:tblGrid>
                              <w:tr w:rsidR="006E675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924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7"/>
                                      <w:gridCol w:w="8956"/>
                                      <w:gridCol w:w="57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227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7"/>
                                          </w:tblGrid>
                                          <w:tr w:rsidR="006E675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7"/>
                                                </w:tblGrid>
                                                <w:tr w:rsidR="006E675D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7"/>
                                                      </w:tblGrid>
                                                      <w:tr w:rsidR="006E675D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E675D" w:rsidRDefault="006E675D">
                                                            <w:pPr>
                                                              <w:spacing w:line="15" w:lineRule="atLeast"/>
                                                              <w:rPr>
                                                                <w:rFonts w:ascii="Verdana" w:hAnsi="Verdana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hAnsi="Verdana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9525" cy="95250"/>
                                                                  <wp:effectExtent l="0" t="0" r="0" b="0"/>
                                                                  <wp:docPr id="7" name="Picture 7" descr="https://i.emlfiles4.com/cmpimg/t/s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0" descr="https://i.emlfiles4.com/cmpimg/t/s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9525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E675D" w:rsidRDefault="006E675D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675D" w:rsidRDefault="006E675D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675D" w:rsidRDefault="006E675D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95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56"/>
                                          </w:tblGrid>
                                          <w:tr w:rsidR="006E675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56"/>
                                                </w:tblGrid>
                                                <w:tr w:rsidR="006E675D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300" w:type="dxa"/>
                                                        <w:bottom w:w="150" w:type="dxa"/>
                                                        <w:right w:w="30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6E675D" w:rsidRDefault="006E675D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 w:line="315" w:lineRule="atLeast"/>
                                                        <w:jc w:val="center"/>
                                                        <w:rPr>
                                                          <w:rFonts w:ascii="Verdana" w:hAnsi="Verdana"/>
                                                          <w:color w:val="766A6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  <w:b/>
                                                          <w:bCs/>
                                                          <w:color w:val="333333"/>
                                                        </w:rPr>
                                                        <w:t>Limited operations due to regional situation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181818"/>
                                                        </w:rPr>
                                                        <w:t xml:space="preserve"> v8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675D" w:rsidRDefault="006E675D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675D" w:rsidRDefault="006E675D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7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7"/>
                                          </w:tblGrid>
                                          <w:tr w:rsidR="006E675D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7"/>
                                                </w:tblGrid>
                                                <w:tr w:rsidR="006E675D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7"/>
                                                      </w:tblGrid>
                                                      <w:tr w:rsidR="006E675D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E675D" w:rsidRDefault="006E675D">
                                                            <w:pPr>
                                                              <w:spacing w:line="15" w:lineRule="atLeast"/>
                                                              <w:rPr>
                                                                <w:rFonts w:ascii="Verdana" w:hAnsi="Verdana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hAnsi="Verdana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9525" cy="95250"/>
                                                                  <wp:effectExtent l="0" t="0" r="0" b="0"/>
                                                                  <wp:docPr id="6" name="Picture 6" descr="https://i.emlfiles4.com/cmpimg/t/s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1" descr="https://i.emlfiles4.com/cmpimg/t/s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9525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E675D" w:rsidRDefault="006E675D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675D" w:rsidRDefault="006E675D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675D" w:rsidRDefault="006E675D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ascii="Verdana" w:hAnsi="Verdana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40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Dear valued Partners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As part of our ongoing commitment to keeping you informed and supported, we kindly remind all our valued partners to regularly check the </w:t>
                                    </w:r>
                                    <w:hyperlink r:id="rId19" w:tooltip="Emirates Partner Portal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b/>
                                          <w:bCs/>
                                          <w:color w:val="0B15EE"/>
                                          <w:sz w:val="20"/>
                                          <w:szCs w:val="20"/>
                                        </w:rPr>
                                        <w:t>Emirates Partner Portal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and </w:t>
                                    </w:r>
                                    <w:hyperlink r:id="rId20" w:tooltip="Emirates.com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b/>
                                          <w:bCs/>
                                          <w:color w:val="0B15EE"/>
                                          <w:sz w:val="20"/>
                                          <w:szCs w:val="20"/>
                                        </w:rPr>
                                        <w:t>Emirates.com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for the latest updates, announcements, and operational changes.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Summary of Key Information of latest Disruption policy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covers all affected itineraries with travel between 28 February and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15 April 2026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Rebooking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Rebooking on Emirates (EK) Flights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Passengers travelling within this period may rebook their travel for departure on or before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31 May 2026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, within the same region and in any RBD within the same cabin, free of charge.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For travel dates after 31 May 2026, rebooking must be made in the originally booked booking class and must comply with ticket validity conditions. For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non issued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tickets, the new travel date must fall within three months of the original travel date.</w:t>
                                    </w:r>
                                  </w:p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Rebooking on Other Airlines (OAL)</w:t>
                                    </w:r>
                                  </w:p>
                                  <w:p w:rsidR="006E675D" w:rsidRDefault="006E675D" w:rsidP="005E744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240" w:after="75" w:line="315" w:lineRule="atLeast"/>
                                      <w:jc w:val="both"/>
                                      <w:rPr>
                                        <w:rFonts w:ascii="Verdana" w:eastAsia="Times New Roman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Re-protection on OAL is permitted only for EK-affected flight segments (cancelled, diverted, or delayed more than 1 hour) and new travel date must be by 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D41D28"/>
                                        <w:sz w:val="20"/>
                                        <w:szCs w:val="20"/>
                                      </w:rPr>
                                      <w:t>15 April 2026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lastRenderedPageBreak/>
                                      <w:t>Refunds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Refunds are permitted on unused flight coupons, with cancellation charges waived. 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GDS Instructions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***Important: Please process all involuntary refunds through your GDS using the remark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“INVOL REFUND”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which must always be included.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40"/>
                                      <w:gridCol w:w="4440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766A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GDS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766A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766A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Where to add remark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Galileo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Airline Authority box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Worldspan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Airline Authority box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Sabre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Waiver box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Amadeus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TRFU/WA Waiver Code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NDC GDS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Refund application through BSP Link</w:t>
                                          </w:r>
                                        </w:p>
                                      </w:tc>
                                    </w:tr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EK Gateway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24" w:space="0" w:color="555555"/>
                                            <w:left w:val="single" w:sz="24" w:space="0" w:color="555555"/>
                                            <w:bottom w:val="single" w:sz="24" w:space="0" w:color="555555"/>
                                            <w:right w:val="single" w:sz="24" w:space="0" w:color="555555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uto"/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Waiver Code field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Please ensure you refer to our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1" w:tooltip="Disruption Policy on the Emirates Partners Portal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color w:val="0B15EE"/>
                                          <w:sz w:val="20"/>
                                          <w:szCs w:val="20"/>
                                        </w:rPr>
                                        <w:t>Disruption Policy on the Emirates Partners Portal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, which outlines the applicable procedures and guidelines for handling affected bookings.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The safety and security of our passengers and crew remain our highest priority.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75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We thank you and our customers for continued patience and understanding.</w:t>
                                    </w:r>
                                  </w:p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0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6E675D" w:rsidRDefault="006E675D">
                                    <w:pPr>
                                      <w:pStyle w:val="NormalWeb"/>
                                      <w:spacing w:before="0" w:beforeAutospacing="0" w:after="240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Regards,</w:t>
                                    </w:r>
                                  </w:p>
                                  <w:p w:rsidR="006E675D" w:rsidRDefault="006E675D">
                                    <w:pPr>
                                      <w:pStyle w:val="elementtoproof"/>
                                      <w:spacing w:before="240" w:beforeAutospacing="0" w:after="240" w:afterAutospacing="0" w:line="315" w:lineRule="atLeast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The Emirates Team</w:t>
                                    </w: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spacing w:line="15" w:lineRule="atLeast"/>
                                            <w:rPr>
                                              <w:rFonts w:ascii="Verdana" w:hAnsi="Verdana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9525" cy="95250"/>
                                                <wp:effectExtent l="0" t="0" r="0" b="0"/>
                                                <wp:docPr id="5" name="Picture 5" descr="https://i.emlfiles4.com/cmpimg/t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https://i.emlfiles4.com/cmpimg/t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"/>
                    <w:gridCol w:w="9254"/>
                    <w:gridCol w:w="255"/>
                  </w:tblGrid>
                  <w:tr w:rsidR="006E675D">
                    <w:trPr>
                      <w:tblCellSpacing w:w="0" w:type="dxa"/>
                      <w:jc w:val="center"/>
                    </w:trPr>
                    <w:tc>
                      <w:tcPr>
                        <w:tcW w:w="24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1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1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spacing w:line="15" w:lineRule="atLeast"/>
                                            <w:rPr>
                                              <w:rFonts w:ascii="Verdana" w:hAnsi="Verdana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95250"/>
                                                <wp:effectExtent l="0" t="0" r="0" b="0"/>
                                                <wp:docPr id="4" name="Picture 4" descr="https://i.emlfiles4.com/cmpimg/t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https://i.emlfiles4.com/cmpimg/t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4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4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4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</w:tblGrid>
                        <w:tr w:rsidR="006E67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</w:tblGrid>
                              <w:tr w:rsidR="006E675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"/>
                                    </w:tblGrid>
                                    <w:tr w:rsidR="006E675D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E675D" w:rsidRDefault="006E675D">
                                          <w:pPr>
                                            <w:spacing w:line="15" w:lineRule="atLeast"/>
                                            <w:rPr>
                                              <w:rFonts w:ascii="Verdana" w:hAnsi="Verdana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95250"/>
                                                <wp:effectExtent l="0" t="0" r="0" b="0"/>
                                                <wp:docPr id="3" name="Picture 3" descr="https://i.emlfiles4.com/cmpimg/t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https://i.emlfiles4.com/cmpimg/t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E675D" w:rsidRDefault="006E675D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675D" w:rsidRDefault="006E675D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675D" w:rsidRDefault="006E675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675D" w:rsidRDefault="006E67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675D" w:rsidRDefault="006E675D">
                  <w:pPr>
                    <w:spacing w:line="15" w:lineRule="atLeast"/>
                    <w:rPr>
                      <w:rFonts w:ascii="Verdana" w:hAnsi="Verdana"/>
                      <w:sz w:val="2"/>
                      <w:szCs w:val="2"/>
                    </w:rPr>
                  </w:pPr>
                  <w:r>
                    <w:rPr>
                      <w:rFonts w:ascii="Verdana" w:hAnsi="Verdan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381000"/>
                        <wp:effectExtent l="0" t="0" r="0" b="0"/>
                        <wp:docPr id="2" name="Picture 2" descr="https://i.emlfiles4.com/cmpimg/t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i.emlfiles4.com/cmpimg/t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EF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tcMar>
                    <w:top w:w="450" w:type="dxa"/>
                    <w:left w:w="600" w:type="dxa"/>
                    <w:bottom w:w="150" w:type="dxa"/>
                    <w:right w:w="600" w:type="dxa"/>
                  </w:tcMar>
                </w:tcPr>
                <w:p w:rsidR="006E675D" w:rsidRDefault="006E675D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Verdana" w:hAnsi="Verdana"/>
                      <w:color w:val="766A65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This email has been sent to you by Emirates, a corporation established by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Emiri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Decree no. 2 of 1985 in Dubai, United Arab Emirates. Corporate Headquarters: Emirates Group Headquarters, Airport Road, </w:t>
                  </w:r>
                </w:p>
                <w:p w:rsidR="006E675D" w:rsidRDefault="006E675D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Verdana" w:hAnsi="Verdana"/>
                      <w:color w:val="766A65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P.O. Box 686, Dubai, U.A.E. </w:t>
                  </w:r>
                </w:p>
                <w:p w:rsidR="006E675D" w:rsidRDefault="006E675D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Verdana" w:hAnsi="Verdana"/>
                      <w:color w:val="766A65"/>
                      <w:sz w:val="21"/>
                      <w:szCs w:val="21"/>
                    </w:rPr>
                  </w:pPr>
                </w:p>
                <w:p w:rsidR="006E675D" w:rsidRDefault="006E675D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Verdana" w:hAnsi="Verdana"/>
                      <w:color w:val="766A65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If you wish to Unsubscribe, click </w:t>
                  </w:r>
                  <w:hyperlink r:id="rId22" w:history="1">
                    <w:r>
                      <w:rPr>
                        <w:rStyle w:val="Hyperlink"/>
                        <w:rFonts w:ascii="Arial" w:hAnsi="Arial" w:cs="Arial"/>
                        <w:color w:val="333333"/>
                        <w:sz w:val="18"/>
                        <w:szCs w:val="18"/>
                      </w:rPr>
                      <w:t>here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6E675D" w:rsidRDefault="006E675D">
            <w:pPr>
              <w:jc w:val="center"/>
              <w:rPr>
                <w:rFonts w:ascii="Verdana" w:hAnsi="Verdana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EF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67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6E675D" w:rsidRDefault="006E675D">
                  <w:pPr>
                    <w:spacing w:line="15" w:lineRule="atLeast"/>
                    <w:rPr>
                      <w:rFonts w:ascii="Verdana" w:hAnsi="Verdana"/>
                      <w:sz w:val="2"/>
                      <w:szCs w:val="2"/>
                    </w:rPr>
                  </w:pPr>
                  <w:r>
                    <w:rPr>
                      <w:rFonts w:ascii="Verdana" w:hAnsi="Verdan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285750"/>
                        <wp:effectExtent l="0" t="0" r="0" b="0"/>
                        <wp:docPr id="1" name="Picture 1" descr="https://i.emlfiles4.com/cmpimg/t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i.emlfiles4.com/cmpimg/t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675D" w:rsidRDefault="006E675D">
            <w:pPr>
              <w:jc w:val="center"/>
              <w:rPr>
                <w:rFonts w:eastAsia="Times New Roman"/>
              </w:rPr>
            </w:pPr>
          </w:p>
        </w:tc>
        <w:bookmarkStart w:id="0" w:name="_GoBack"/>
        <w:bookmarkEnd w:id="0"/>
      </w:tr>
    </w:tbl>
    <w:p w:rsidR="001A731D" w:rsidRDefault="006E675D"/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5BD6"/>
    <w:multiLevelType w:val="multilevel"/>
    <w:tmpl w:val="B2A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8622C"/>
    <w:multiLevelType w:val="multilevel"/>
    <w:tmpl w:val="F0D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5D"/>
    <w:rsid w:val="00497DA1"/>
    <w:rsid w:val="006E675D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A334C-F596-4F9F-BEE6-2D2D2AA2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5D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7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675D"/>
    <w:pPr>
      <w:spacing w:before="100" w:beforeAutospacing="1" w:after="100" w:afterAutospacing="1"/>
    </w:pPr>
  </w:style>
  <w:style w:type="paragraph" w:customStyle="1" w:styleId="elementtoproof">
    <w:name w:val="elementtoproof"/>
    <w:basedOn w:val="Normal"/>
    <w:uiPriority w:val="99"/>
    <w:semiHidden/>
    <w:rsid w:val="006E6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emiratesagents.com/c/AQiW0QcQ4vKnARjH6LXrASDm0IQiKMSkxBLnveUAT2WxOkM5TeOH-XifZNIiZnvi28KfKpS42RxUlQ" TargetMode="External"/><Relationship Id="rId13" Type="http://schemas.openxmlformats.org/officeDocument/2006/relationships/hyperlink" Target="https://e.emiratesagents.com/c/AQiW0QcQ4vKnARjH6LXrASDo0IQiKMSkxBJ9BBcvQMuKTsJoN0zyQ-Y-Ye7JtGgurWUAwVtBBqlj6A" TargetMode="External"/><Relationship Id="rId18" Type="http://schemas.openxmlformats.org/officeDocument/2006/relationships/hyperlink" Target="https://e.emiratesagents.com/c/AQiW0QcQ4vKnARjH6LXrASDp0IQiKMSkxBJ1kGDpOhhTKBRfd1pXDw7HylU4jikz-q4tTrLoVNXkq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emiratesagents.com/c/AQiW0QcQ4vKnARjH6LXrASDs0IQiKMSkxBJ_WVN-pjWxN9UWtbAhaCqYTASbV0-ekG-PEwgvW7H3SQ" TargetMode="External"/><Relationship Id="rId7" Type="http://schemas.openxmlformats.org/officeDocument/2006/relationships/hyperlink" Target="https://e.emiratesagents.com/c/AQiW0QcQ4vKnARjH6LXrASDl0IQiKMSkxBLAXMaAxLIyc0xelzrrmYtXDi04D_ynUd3W6LJVRfS2kA" TargetMode="External"/><Relationship Id="rId12" Type="http://schemas.openxmlformats.org/officeDocument/2006/relationships/hyperlink" Target="https://e.emiratesagents.com/c/AQiW0QcQ4vKnARjH6LXrASDn0IQiKMSkxBIe6sesIfpAY5QPqahChdiFglplMY_CGAehi0qa7IxGHw" TargetMode="External"/><Relationship Id="rId17" Type="http://schemas.openxmlformats.org/officeDocument/2006/relationships/hyperlink" Target="https://e.emiratesagents.com/c/AQiW0QcQ4vKnARjH6LXrASC6zoYiKMSkxBI3QgnqWJRfXLp0gM_z1lM4NvXOzjsOrnzY6orRXMuE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emiratesagents.com/c/AQiW0QcQ4vKnARjH6LXrASC5zoYiKMSkxBI5tSq0CVdUSnGed0C1nGBPlG6riXBruIn5NgCuOZ_yQQ" TargetMode="External"/><Relationship Id="rId20" Type="http://schemas.openxmlformats.org/officeDocument/2006/relationships/hyperlink" Target="https://e.emiratesagents.com/c/AQiW0QcQ4vKnARjH6LXrASC6zoYiKMSkxBI3QgnqWJRfXLp0gM_z1lM4NvXOzjsOrnzY6orRXMuEJ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emiratesagents.com/c/AQiW0QcQ4vKnARjH6LXrASDk0IQiKMSkxBJRMC4_JgKLOtSP20poHiKowoivp8035lq6i96nnTKhuw" TargetMode="External"/><Relationship Id="rId11" Type="http://schemas.openxmlformats.org/officeDocument/2006/relationships/hyperlink" Target="https://e.emiratesagents.com/c/AQiW0QcQ4vKnARjH6LXrASDl0IQiKMSkxBLAXMaAxLIyc0xelzrrmYtXDi04D_ynUd3W6LJVRfS2k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4.gif"/><Relationship Id="rId23" Type="http://schemas.openxmlformats.org/officeDocument/2006/relationships/fontTable" Target="fontTable.xml"/><Relationship Id="rId10" Type="http://schemas.openxmlformats.org/officeDocument/2006/relationships/hyperlink" Target="https://e.emiratesagents.com/c/AQiW0QcQ4vKnARjH6LXrASDk0IQiKMSkxBJRMC4_JgKLOtSP20poHiKowoivp8035lq6i96nnTKhuw" TargetMode="External"/><Relationship Id="rId19" Type="http://schemas.openxmlformats.org/officeDocument/2006/relationships/hyperlink" Target="https://e.emiratesagents.com/c/AQiW0QcQ4vKnARjH6LXrASC5zoYiKMSkxBI5tSq0CVdUSnGed0C1nGBPlG6riXBruIn5NgCuOZ_yQ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s://e.emiratesagents.com/uns/AQiW0QcQ4vKnARjH6LXrASDEpMQS5_zKvjqvg9XfjbJtyhPFGKTWtarskErXMTY3kN9Rz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2026-03-19T11:20:00Z</dcterms:created>
  <dcterms:modified xsi:type="dcterms:W3CDTF">2026-03-19T11:20:00Z</dcterms:modified>
</cp:coreProperties>
</file>